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A976C" w14:textId="7E29E750" w:rsidR="000B390F" w:rsidRPr="00F31F57" w:rsidRDefault="00F31F57" w:rsidP="00F31F57">
      <w:pPr>
        <w:pStyle w:val="Ttulo1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="585EC330" w:rsidRPr="00F31F57">
        <w:rPr>
          <w:sz w:val="20"/>
          <w:szCs w:val="20"/>
        </w:rPr>
        <w:t>OBJETIVO</w:t>
      </w:r>
    </w:p>
    <w:p w14:paraId="1449723F" w14:textId="77777777" w:rsidR="00F31F57" w:rsidRDefault="00F31F57" w:rsidP="00F31F57">
      <w:pPr>
        <w:rPr>
          <w:rFonts w:ascii="Calibri" w:eastAsia="Calibri" w:hAnsi="Calibri" w:cs="Calibri"/>
          <w:bCs/>
          <w:sz w:val="20"/>
          <w:szCs w:val="20"/>
        </w:rPr>
      </w:pPr>
      <w:r w:rsidRPr="00F31F57">
        <w:rPr>
          <w:rFonts w:ascii="Calibri" w:eastAsia="Calibri" w:hAnsi="Calibri" w:cs="Calibri"/>
          <w:bCs/>
          <w:sz w:val="20"/>
          <w:szCs w:val="20"/>
        </w:rPr>
        <w:t>El objetivo principal de esta política es asegurar la disponibilidad continua y oportuna de productos en los puntos de dispensación, optimizando los recursos y garantizando un servicio eficiente. Para ello, se implementarán las siguientes directrices:</w:t>
      </w:r>
    </w:p>
    <w:p w14:paraId="738E3235" w14:textId="77777777" w:rsidR="00F31F57" w:rsidRPr="00F31F57" w:rsidRDefault="00F31F57" w:rsidP="00F31F57">
      <w:pPr>
        <w:rPr>
          <w:rFonts w:ascii="Calibri" w:eastAsia="Calibri" w:hAnsi="Calibri" w:cs="Calibri"/>
          <w:bCs/>
          <w:sz w:val="20"/>
          <w:szCs w:val="20"/>
        </w:rPr>
      </w:pPr>
    </w:p>
    <w:p w14:paraId="360D8879" w14:textId="24034EB3" w:rsidR="585EC330" w:rsidRPr="00F31F57" w:rsidRDefault="00F31F57" w:rsidP="00F31F57">
      <w:pPr>
        <w:pStyle w:val="Prrafodelista"/>
        <w:ind w:left="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2. </w:t>
      </w:r>
      <w:r w:rsidR="585EC330" w:rsidRPr="00F31F57">
        <w:rPr>
          <w:rFonts w:ascii="Calibri" w:eastAsia="Calibri" w:hAnsi="Calibri" w:cs="Calibri"/>
          <w:b/>
          <w:bCs/>
          <w:sz w:val="20"/>
          <w:szCs w:val="20"/>
        </w:rPr>
        <w:t>ALCANCE</w:t>
      </w:r>
    </w:p>
    <w:p w14:paraId="0A8D2FCF" w14:textId="5082A652" w:rsidR="000B390F" w:rsidRPr="00F31F57" w:rsidRDefault="000B390F" w:rsidP="00F31F57">
      <w:pPr>
        <w:pStyle w:val="Prrafodelista"/>
        <w:spacing w:after="240"/>
        <w:ind w:left="0"/>
        <w:contextualSpacing w:val="0"/>
        <w:jc w:val="both"/>
        <w:rPr>
          <w:rFonts w:ascii="Calibri" w:eastAsia="Calibri" w:hAnsi="Calibri" w:cs="Calibri"/>
          <w:sz w:val="20"/>
          <w:szCs w:val="20"/>
        </w:rPr>
      </w:pPr>
      <w:r w:rsidRPr="00F31F57">
        <w:rPr>
          <w:rFonts w:ascii="Calibri" w:eastAsia="Calibri" w:hAnsi="Calibri" w:cs="Calibri"/>
          <w:sz w:val="20"/>
          <w:szCs w:val="20"/>
        </w:rPr>
        <w:t>Esta política aplica a todos los puntos de dispensación de Disfarma GC SAS, al personal encargado del abastecimiento, gestión de inventarios y distribución de productos.</w:t>
      </w:r>
    </w:p>
    <w:p w14:paraId="41FD0795" w14:textId="612DDC39" w:rsidR="000B390F" w:rsidRDefault="00F31F57" w:rsidP="00F31F57">
      <w:pPr>
        <w:pStyle w:val="Prrafodelista"/>
        <w:ind w:left="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3. </w:t>
      </w:r>
      <w:r w:rsidR="585EC330" w:rsidRPr="00F31F57">
        <w:rPr>
          <w:rFonts w:ascii="Calibri" w:eastAsia="Calibri" w:hAnsi="Calibri" w:cs="Calibri"/>
          <w:b/>
          <w:bCs/>
          <w:sz w:val="20"/>
          <w:szCs w:val="20"/>
        </w:rPr>
        <w:t>POLITICA</w:t>
      </w:r>
    </w:p>
    <w:p w14:paraId="5392C7A0" w14:textId="77777777" w:rsidR="00F31F57" w:rsidRPr="00F31F57" w:rsidRDefault="00F31F57" w:rsidP="00F31F57">
      <w:pPr>
        <w:pStyle w:val="Prrafodelista"/>
        <w:ind w:left="0"/>
        <w:jc w:val="both"/>
        <w:rPr>
          <w:rFonts w:ascii="Calibri" w:eastAsia="Calibri" w:hAnsi="Calibri" w:cs="Calibri"/>
          <w:b/>
          <w:bCs/>
          <w:sz w:val="20"/>
          <w:szCs w:val="20"/>
        </w:rPr>
      </w:pPr>
    </w:p>
    <w:p w14:paraId="2C619DC0" w14:textId="6FEF75AD" w:rsidR="002619BD" w:rsidRPr="00F31F57" w:rsidRDefault="00F31F57" w:rsidP="00F31F57">
      <w:pPr>
        <w:jc w:val="both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3.1. </w:t>
      </w:r>
      <w:r w:rsidR="000B390F" w:rsidRPr="00F31F57">
        <w:rPr>
          <w:rFonts w:ascii="Calibri" w:eastAsia="Calibri" w:hAnsi="Calibri" w:cs="Calibri"/>
          <w:b/>
          <w:bCs/>
          <w:sz w:val="20"/>
          <w:szCs w:val="20"/>
        </w:rPr>
        <w:t>DISPONIBILIDAD Y CONTROL DE INVENTARIOS</w:t>
      </w:r>
      <w:r w:rsidR="002619BD" w:rsidRPr="00F31F57">
        <w:rPr>
          <w:rFonts w:ascii="Calibri" w:eastAsia="Calibri" w:hAnsi="Calibri" w:cs="Calibri"/>
          <w:b/>
          <w:bCs/>
          <w:sz w:val="20"/>
          <w:szCs w:val="20"/>
        </w:rPr>
        <w:t>:</w:t>
      </w:r>
    </w:p>
    <w:p w14:paraId="11C96D44" w14:textId="6CD045DB" w:rsidR="000B390F" w:rsidRDefault="000B390F" w:rsidP="00F31F57">
      <w:pPr>
        <w:pStyle w:val="Prrafodelista"/>
        <w:ind w:left="0"/>
        <w:jc w:val="both"/>
        <w:rPr>
          <w:rFonts w:ascii="Calibri" w:eastAsia="Calibri" w:hAnsi="Calibri" w:cs="Calibri"/>
          <w:sz w:val="20"/>
          <w:szCs w:val="20"/>
        </w:rPr>
      </w:pPr>
      <w:r w:rsidRPr="00F31F57">
        <w:rPr>
          <w:rFonts w:ascii="Calibri" w:eastAsia="Calibri" w:hAnsi="Calibri" w:cs="Calibri"/>
          <w:sz w:val="20"/>
          <w:szCs w:val="20"/>
        </w:rPr>
        <w:t xml:space="preserve">Se </w:t>
      </w:r>
      <w:r w:rsidR="002619BD" w:rsidRPr="00F31F57">
        <w:rPr>
          <w:rFonts w:ascii="Calibri" w:eastAsia="Calibri" w:hAnsi="Calibri" w:cs="Calibri"/>
          <w:sz w:val="20"/>
          <w:szCs w:val="20"/>
        </w:rPr>
        <w:t>debe garantizar</w:t>
      </w:r>
      <w:r w:rsidRPr="00F31F57">
        <w:rPr>
          <w:rFonts w:ascii="Calibri" w:eastAsia="Calibri" w:hAnsi="Calibri" w:cs="Calibri"/>
          <w:sz w:val="20"/>
          <w:szCs w:val="20"/>
        </w:rPr>
        <w:t xml:space="preserve"> la disponibilidad continua de productos en todos los puntos de dispensación, estableciendo un sistema de control y seguimiento de inventarios en tiempo real. Este sistema permit</w:t>
      </w:r>
      <w:r w:rsidR="002619BD" w:rsidRPr="00F31F57">
        <w:rPr>
          <w:rFonts w:ascii="Calibri" w:eastAsia="Calibri" w:hAnsi="Calibri" w:cs="Calibri"/>
          <w:sz w:val="20"/>
          <w:szCs w:val="20"/>
        </w:rPr>
        <w:t xml:space="preserve">e </w:t>
      </w:r>
      <w:r w:rsidRPr="00F31F57">
        <w:rPr>
          <w:rFonts w:ascii="Calibri" w:eastAsia="Calibri" w:hAnsi="Calibri" w:cs="Calibri"/>
          <w:sz w:val="20"/>
          <w:szCs w:val="20"/>
        </w:rPr>
        <w:t>realizar revisiones periódicas y detectar oportunamente las necesidades de reposición, con el fin de evitar desabastecimientos.</w:t>
      </w:r>
    </w:p>
    <w:p w14:paraId="64190F60" w14:textId="77777777" w:rsidR="00F31F57" w:rsidRPr="00F31F57" w:rsidRDefault="00F31F57" w:rsidP="00F31F57">
      <w:pPr>
        <w:pStyle w:val="Prrafodelista"/>
        <w:ind w:left="0"/>
        <w:jc w:val="both"/>
        <w:rPr>
          <w:rFonts w:ascii="Calibri" w:eastAsia="Calibri" w:hAnsi="Calibri" w:cs="Calibri"/>
          <w:b/>
          <w:bCs/>
          <w:sz w:val="20"/>
          <w:szCs w:val="20"/>
        </w:rPr>
      </w:pPr>
    </w:p>
    <w:p w14:paraId="0CFE3953" w14:textId="7F384CCA" w:rsidR="002619BD" w:rsidRPr="00F31F57" w:rsidRDefault="000B390F" w:rsidP="00F31F57">
      <w:pPr>
        <w:pStyle w:val="Prrafodelista"/>
        <w:numPr>
          <w:ilvl w:val="1"/>
          <w:numId w:val="4"/>
        </w:numPr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F31F57">
        <w:rPr>
          <w:rFonts w:ascii="Calibri" w:eastAsia="Calibri" w:hAnsi="Calibri" w:cs="Calibri"/>
          <w:b/>
          <w:bCs/>
          <w:sz w:val="20"/>
          <w:szCs w:val="20"/>
        </w:rPr>
        <w:t>COORDINACIÓN ENTRE DEPARTAMENTOS</w:t>
      </w:r>
      <w:r w:rsidRPr="00F31F57">
        <w:rPr>
          <w:rFonts w:ascii="Calibri" w:eastAsia="Calibri" w:hAnsi="Calibri" w:cs="Calibri"/>
          <w:sz w:val="20"/>
          <w:szCs w:val="20"/>
        </w:rPr>
        <w:t>:</w:t>
      </w:r>
    </w:p>
    <w:p w14:paraId="3F5A5500" w14:textId="10B255B5" w:rsidR="00F31F57" w:rsidRDefault="001668EA" w:rsidP="001668EA">
      <w:pPr>
        <w:jc w:val="both"/>
        <w:rPr>
          <w:rFonts w:ascii="Calibri" w:eastAsia="Calibri" w:hAnsi="Calibri" w:cs="Calibri"/>
          <w:sz w:val="20"/>
          <w:szCs w:val="20"/>
        </w:rPr>
      </w:pPr>
      <w:r w:rsidRPr="001668EA">
        <w:rPr>
          <w:rFonts w:ascii="Calibri" w:eastAsia="Calibri" w:hAnsi="Calibri" w:cs="Calibri"/>
          <w:sz w:val="20"/>
          <w:szCs w:val="20"/>
        </w:rPr>
        <w:t>El abastecimiento será gestionado de manera conjunta entre el departamento de compras y los responsables de cada punto de dispensación.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 w:rsidRPr="001668EA">
        <w:rPr>
          <w:rFonts w:ascii="Calibri" w:eastAsia="Calibri" w:hAnsi="Calibri" w:cs="Calibri"/>
          <w:sz w:val="20"/>
          <w:szCs w:val="20"/>
        </w:rPr>
        <w:t>Los pedidos se basarán en pronósticos de demanda precisos, considerando las tendencias del mercado y las variaciones estacionales.</w:t>
      </w:r>
    </w:p>
    <w:p w14:paraId="13A795F6" w14:textId="77777777" w:rsidR="001668EA" w:rsidRPr="001668EA" w:rsidRDefault="001668EA" w:rsidP="001668EA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6FFB9797" w14:textId="5AD4B4DE" w:rsidR="002619BD" w:rsidRPr="00F31F57" w:rsidRDefault="000B390F" w:rsidP="00F31F57">
      <w:pPr>
        <w:pStyle w:val="Prrafodelista"/>
        <w:numPr>
          <w:ilvl w:val="1"/>
          <w:numId w:val="4"/>
        </w:numPr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F31F57">
        <w:rPr>
          <w:rFonts w:ascii="Calibri" w:eastAsia="Calibri" w:hAnsi="Calibri" w:cs="Calibri"/>
          <w:b/>
          <w:bCs/>
          <w:sz w:val="20"/>
          <w:szCs w:val="20"/>
        </w:rPr>
        <w:t>ROTACIÓN DE INVENTARIOS:</w:t>
      </w:r>
    </w:p>
    <w:p w14:paraId="782A34A6" w14:textId="683CF6F5" w:rsidR="00F31F57" w:rsidRDefault="001668EA" w:rsidP="001668EA">
      <w:pPr>
        <w:jc w:val="both"/>
        <w:rPr>
          <w:rFonts w:ascii="Calibri" w:eastAsia="Calibri" w:hAnsi="Calibri" w:cs="Calibri"/>
          <w:sz w:val="20"/>
          <w:szCs w:val="20"/>
        </w:rPr>
      </w:pPr>
      <w:r w:rsidRPr="001668EA">
        <w:rPr>
          <w:rFonts w:ascii="Calibri" w:eastAsia="Calibri" w:hAnsi="Calibri" w:cs="Calibri"/>
          <w:sz w:val="20"/>
          <w:szCs w:val="20"/>
        </w:rPr>
        <w:t xml:space="preserve">Se adoptará la práctica de </w:t>
      </w:r>
      <w:proofErr w:type="spellStart"/>
      <w:r w:rsidRPr="001668EA">
        <w:rPr>
          <w:rFonts w:ascii="Calibri" w:eastAsia="Calibri" w:hAnsi="Calibri" w:cs="Calibri"/>
          <w:sz w:val="20"/>
          <w:szCs w:val="20"/>
        </w:rPr>
        <w:t>First</w:t>
      </w:r>
      <w:proofErr w:type="spellEnd"/>
      <w:r w:rsidRPr="001668EA">
        <w:rPr>
          <w:rFonts w:ascii="Calibri" w:eastAsia="Calibri" w:hAnsi="Calibri" w:cs="Calibri"/>
          <w:sz w:val="20"/>
          <w:szCs w:val="20"/>
        </w:rPr>
        <w:t xml:space="preserve"> In, </w:t>
      </w:r>
      <w:proofErr w:type="spellStart"/>
      <w:r w:rsidRPr="001668EA">
        <w:rPr>
          <w:rFonts w:ascii="Calibri" w:eastAsia="Calibri" w:hAnsi="Calibri" w:cs="Calibri"/>
          <w:sz w:val="20"/>
          <w:szCs w:val="20"/>
        </w:rPr>
        <w:t>First</w:t>
      </w:r>
      <w:proofErr w:type="spellEnd"/>
      <w:r w:rsidRPr="001668EA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1668EA">
        <w:rPr>
          <w:rFonts w:ascii="Calibri" w:eastAsia="Calibri" w:hAnsi="Calibri" w:cs="Calibri"/>
          <w:sz w:val="20"/>
          <w:szCs w:val="20"/>
        </w:rPr>
        <w:t>Out</w:t>
      </w:r>
      <w:proofErr w:type="spellEnd"/>
      <w:r w:rsidRPr="001668EA">
        <w:rPr>
          <w:rFonts w:ascii="Calibri" w:eastAsia="Calibri" w:hAnsi="Calibri" w:cs="Calibri"/>
          <w:sz w:val="20"/>
          <w:szCs w:val="20"/>
        </w:rPr>
        <w:t xml:space="preserve"> (FIFO) para garantizar que los productos más antiguos sean dispensados primero.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 w:rsidRPr="001668EA">
        <w:rPr>
          <w:rFonts w:ascii="Calibri" w:eastAsia="Calibri" w:hAnsi="Calibri" w:cs="Calibri"/>
          <w:sz w:val="20"/>
          <w:szCs w:val="20"/>
        </w:rPr>
        <w:t xml:space="preserve">Esto permitirá minimizar el riesgo de caducidad y mantener la calidad </w:t>
      </w:r>
      <w:r w:rsidRPr="001668EA">
        <w:rPr>
          <w:rFonts w:ascii="Calibri" w:eastAsia="Calibri" w:hAnsi="Calibri" w:cs="Calibri"/>
          <w:sz w:val="20"/>
          <w:szCs w:val="20"/>
        </w:rPr>
        <w:t>de los productos</w:t>
      </w:r>
      <w:r>
        <w:rPr>
          <w:rFonts w:ascii="Calibri" w:eastAsia="Calibri" w:hAnsi="Calibri" w:cs="Calibri"/>
          <w:sz w:val="20"/>
          <w:szCs w:val="20"/>
        </w:rPr>
        <w:t>.</w:t>
      </w:r>
    </w:p>
    <w:p w14:paraId="01D7AFB6" w14:textId="77777777" w:rsidR="001668EA" w:rsidRPr="001668EA" w:rsidRDefault="001668EA" w:rsidP="001668EA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5A712727" w14:textId="2555A2D6" w:rsidR="002619BD" w:rsidRPr="00F31F57" w:rsidRDefault="000B390F" w:rsidP="00F31F57">
      <w:pPr>
        <w:pStyle w:val="Prrafodelista"/>
        <w:numPr>
          <w:ilvl w:val="1"/>
          <w:numId w:val="4"/>
        </w:numPr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F31F57">
        <w:rPr>
          <w:rFonts w:ascii="Calibri" w:eastAsia="Calibri" w:hAnsi="Calibri" w:cs="Calibri"/>
          <w:b/>
          <w:bCs/>
          <w:sz w:val="20"/>
          <w:szCs w:val="20"/>
        </w:rPr>
        <w:t>CAPACITACIÓN DEL PERSONAL:</w:t>
      </w:r>
    </w:p>
    <w:p w14:paraId="042F85DD" w14:textId="76C6D556" w:rsidR="000B390F" w:rsidRPr="00F31F57" w:rsidRDefault="000B390F" w:rsidP="00F31F57">
      <w:pPr>
        <w:pStyle w:val="Prrafodelista"/>
        <w:ind w:left="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F31F57">
        <w:rPr>
          <w:rFonts w:ascii="Calibri" w:eastAsia="Calibri" w:hAnsi="Calibri" w:cs="Calibri"/>
          <w:sz w:val="20"/>
          <w:szCs w:val="20"/>
        </w:rPr>
        <w:t xml:space="preserve">El personal encargado de la recepción, distribución y manejo de inventarios </w:t>
      </w:r>
      <w:r w:rsidR="00F35343" w:rsidRPr="00F31F57">
        <w:rPr>
          <w:rFonts w:ascii="Calibri" w:eastAsia="Calibri" w:hAnsi="Calibri" w:cs="Calibri"/>
          <w:sz w:val="20"/>
          <w:szCs w:val="20"/>
        </w:rPr>
        <w:t>debe recibir</w:t>
      </w:r>
      <w:r w:rsidRPr="00F31F57">
        <w:rPr>
          <w:rFonts w:ascii="Calibri" w:eastAsia="Calibri" w:hAnsi="Calibri" w:cs="Calibri"/>
          <w:sz w:val="20"/>
          <w:szCs w:val="20"/>
        </w:rPr>
        <w:t xml:space="preserve"> formación continua en los procedimientos establecidos para el abastecimiento, así como en la correcta gestión de la calidad y seguridad de los productos.</w:t>
      </w:r>
    </w:p>
    <w:p w14:paraId="4A69BD66" w14:textId="77777777" w:rsidR="00F31F57" w:rsidRDefault="00F31F57" w:rsidP="00F31F57">
      <w:pPr>
        <w:pStyle w:val="Prrafodelista"/>
        <w:ind w:left="0"/>
        <w:contextualSpacing w:val="0"/>
        <w:jc w:val="both"/>
        <w:rPr>
          <w:rFonts w:ascii="Calibri" w:eastAsia="Calibri" w:hAnsi="Calibri" w:cs="Calibri"/>
          <w:b/>
          <w:bCs/>
          <w:sz w:val="20"/>
          <w:szCs w:val="20"/>
        </w:rPr>
      </w:pPr>
    </w:p>
    <w:p w14:paraId="383E98F1" w14:textId="6C8AA923" w:rsidR="002619BD" w:rsidRPr="00F31F57" w:rsidRDefault="00F31F57" w:rsidP="00F31F57">
      <w:pPr>
        <w:pStyle w:val="Prrafodelista"/>
        <w:ind w:left="0"/>
        <w:contextualSpacing w:val="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3.5.</w:t>
      </w:r>
      <w:r w:rsidRPr="00F31F57">
        <w:rPr>
          <w:rFonts w:ascii="Calibri" w:eastAsia="Calibri" w:hAnsi="Calibri" w:cs="Calibri"/>
          <w:b/>
          <w:bCs/>
          <w:sz w:val="20"/>
          <w:szCs w:val="20"/>
        </w:rPr>
        <w:t xml:space="preserve"> CUMPLIMIENTO</w:t>
      </w:r>
      <w:r w:rsidR="000B390F" w:rsidRPr="00F31F57">
        <w:rPr>
          <w:rFonts w:ascii="Calibri" w:eastAsia="Calibri" w:hAnsi="Calibri" w:cs="Calibri"/>
          <w:b/>
          <w:bCs/>
          <w:sz w:val="20"/>
          <w:szCs w:val="20"/>
        </w:rPr>
        <w:t xml:space="preserve"> OBLIGATORIO:</w:t>
      </w:r>
    </w:p>
    <w:p w14:paraId="635AFBFA" w14:textId="40BD464C" w:rsidR="000B390F" w:rsidRPr="00F31F57" w:rsidRDefault="000B390F" w:rsidP="00F31F57">
      <w:pPr>
        <w:pStyle w:val="Prrafodelista"/>
        <w:spacing w:after="240"/>
        <w:ind w:left="0"/>
        <w:contextualSpacing w:val="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F31F57">
        <w:rPr>
          <w:rFonts w:ascii="Calibri" w:eastAsia="Calibri" w:hAnsi="Calibri" w:cs="Calibri"/>
          <w:sz w:val="20"/>
          <w:szCs w:val="20"/>
        </w:rPr>
        <w:t>El cumplimiento de esta política es obligatorio para todo el personal involucrado en el proceso de abastecimiento y gestión de inventarios en Disfarma GC SAS. La no observancia de esta política será considerada una infracción y podrá conllevar medidas disciplinarias.</w:t>
      </w:r>
    </w:p>
    <w:p w14:paraId="36892C74" w14:textId="0767E55F" w:rsidR="000B390F" w:rsidRPr="00F31F57" w:rsidRDefault="00F31F57" w:rsidP="00F31F57">
      <w:pPr>
        <w:pStyle w:val="Prrafodelista"/>
        <w:ind w:left="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4. </w:t>
      </w:r>
      <w:r w:rsidR="000B390F" w:rsidRPr="00F31F57">
        <w:rPr>
          <w:rFonts w:ascii="Calibri" w:eastAsia="Calibri" w:hAnsi="Calibri" w:cs="Calibri"/>
          <w:b/>
          <w:bCs/>
          <w:sz w:val="20"/>
          <w:szCs w:val="20"/>
        </w:rPr>
        <w:t>RESPONSABLES:</w:t>
      </w:r>
    </w:p>
    <w:p w14:paraId="3F56A92E" w14:textId="77777777" w:rsidR="00F35343" w:rsidRPr="00F31F57" w:rsidRDefault="000B390F" w:rsidP="00F31F57">
      <w:pPr>
        <w:pStyle w:val="Prrafodelista"/>
        <w:ind w:left="0"/>
        <w:contextualSpacing w:val="0"/>
        <w:jc w:val="both"/>
        <w:rPr>
          <w:rFonts w:ascii="Calibri" w:eastAsia="Calibri" w:hAnsi="Calibri" w:cs="Calibri"/>
          <w:sz w:val="20"/>
          <w:szCs w:val="20"/>
        </w:rPr>
      </w:pPr>
      <w:r w:rsidRPr="00F31F57">
        <w:rPr>
          <w:rFonts w:ascii="Calibri" w:eastAsia="Calibri" w:hAnsi="Calibri" w:cs="Calibri"/>
          <w:sz w:val="20"/>
          <w:szCs w:val="20"/>
        </w:rPr>
        <w:t>Departamento de Compras</w:t>
      </w:r>
      <w:r w:rsidR="00F35343" w:rsidRPr="00F31F57">
        <w:rPr>
          <w:rFonts w:ascii="Calibri" w:eastAsia="Calibri" w:hAnsi="Calibri" w:cs="Calibri"/>
          <w:sz w:val="20"/>
          <w:szCs w:val="20"/>
        </w:rPr>
        <w:t>:</w:t>
      </w:r>
      <w:r w:rsidRPr="00F31F57">
        <w:rPr>
          <w:rFonts w:ascii="Calibri" w:eastAsia="Calibri" w:hAnsi="Calibri" w:cs="Calibri"/>
          <w:sz w:val="20"/>
          <w:szCs w:val="20"/>
        </w:rPr>
        <w:t xml:space="preserve"> responsable de la planificación y ejecución de las adquisiciones.</w:t>
      </w:r>
    </w:p>
    <w:p w14:paraId="17290872" w14:textId="676F993D" w:rsidR="000B390F" w:rsidRDefault="000B390F" w:rsidP="00F31F57">
      <w:pPr>
        <w:pStyle w:val="Prrafodelista"/>
        <w:spacing w:after="240"/>
        <w:ind w:left="0"/>
        <w:contextualSpacing w:val="0"/>
        <w:jc w:val="both"/>
        <w:rPr>
          <w:rFonts w:ascii="Calibri" w:eastAsia="Calibri" w:hAnsi="Calibri" w:cs="Calibri"/>
          <w:sz w:val="20"/>
          <w:szCs w:val="20"/>
        </w:rPr>
      </w:pPr>
      <w:r w:rsidRPr="00F31F57">
        <w:rPr>
          <w:rFonts w:ascii="Calibri" w:eastAsia="Calibri" w:hAnsi="Calibri" w:cs="Calibri"/>
          <w:sz w:val="20"/>
          <w:szCs w:val="20"/>
        </w:rPr>
        <w:t>Los responsables de cada punto de dispensación debe</w:t>
      </w:r>
      <w:r w:rsidR="00F35343" w:rsidRPr="00F31F57">
        <w:rPr>
          <w:rFonts w:ascii="Calibri" w:eastAsia="Calibri" w:hAnsi="Calibri" w:cs="Calibri"/>
          <w:sz w:val="20"/>
          <w:szCs w:val="20"/>
        </w:rPr>
        <w:t>n</w:t>
      </w:r>
      <w:r w:rsidRPr="00F31F57">
        <w:rPr>
          <w:rFonts w:ascii="Calibri" w:eastAsia="Calibri" w:hAnsi="Calibri" w:cs="Calibri"/>
          <w:sz w:val="20"/>
          <w:szCs w:val="20"/>
        </w:rPr>
        <w:t xml:space="preserve"> asegurar la implementación efectiva de los procedimientos establecidos en esta política.</w:t>
      </w:r>
    </w:p>
    <w:p w14:paraId="395B20CA" w14:textId="10FF743B" w:rsidR="001668EA" w:rsidRPr="001668EA" w:rsidRDefault="001668EA" w:rsidP="001668EA">
      <w:pPr>
        <w:spacing w:after="240"/>
        <w:jc w:val="both"/>
        <w:rPr>
          <w:rFonts w:ascii="Calibri" w:eastAsia="Calibri" w:hAnsi="Calibri" w:cs="Calibri"/>
          <w:sz w:val="20"/>
          <w:szCs w:val="20"/>
          <w:lang w:val="es-CO"/>
        </w:rPr>
      </w:pPr>
      <w:r>
        <w:rPr>
          <w:rFonts w:ascii="Calibri" w:eastAsia="Calibri" w:hAnsi="Calibri" w:cs="Calibri"/>
          <w:b/>
          <w:bCs/>
          <w:sz w:val="20"/>
          <w:szCs w:val="20"/>
          <w:lang w:val="es-CO"/>
        </w:rPr>
        <w:t xml:space="preserve">5. </w:t>
      </w:r>
      <w:r w:rsidRPr="001668EA">
        <w:rPr>
          <w:rFonts w:ascii="Calibri" w:eastAsia="Calibri" w:hAnsi="Calibri" w:cs="Calibri"/>
          <w:b/>
          <w:bCs/>
          <w:sz w:val="20"/>
          <w:szCs w:val="20"/>
          <w:lang w:val="es-CO"/>
        </w:rPr>
        <w:t>GESTIÓN PROACTIVA DE LA CALIDAD</w:t>
      </w:r>
      <w:r w:rsidRPr="001668EA">
        <w:rPr>
          <w:rFonts w:ascii="Calibri" w:eastAsia="Calibri" w:hAnsi="Calibri" w:cs="Calibri"/>
          <w:sz w:val="20"/>
          <w:szCs w:val="20"/>
          <w:lang w:val="es-CO"/>
        </w:rPr>
        <w:t>:</w:t>
      </w:r>
    </w:p>
    <w:p w14:paraId="3CD87152" w14:textId="3FAA4397" w:rsidR="001668EA" w:rsidRPr="001668EA" w:rsidRDefault="001668EA" w:rsidP="001668EA">
      <w:pPr>
        <w:spacing w:after="240"/>
        <w:jc w:val="both"/>
        <w:rPr>
          <w:rFonts w:ascii="Calibri" w:eastAsia="Calibri" w:hAnsi="Calibri" w:cs="Calibri"/>
          <w:sz w:val="20"/>
          <w:szCs w:val="20"/>
          <w:lang w:val="es-CO"/>
        </w:rPr>
      </w:pPr>
      <w:r w:rsidRPr="001668EA">
        <w:rPr>
          <w:rFonts w:ascii="Calibri" w:eastAsia="Calibri" w:hAnsi="Calibri" w:cs="Calibri"/>
          <w:sz w:val="20"/>
          <w:szCs w:val="20"/>
          <w:lang w:val="es-CO"/>
        </w:rPr>
        <w:t>Se implementarán controles de calidad rigurosos en cada etapa del proceso de abastecimiento, desde la recepción hasta la distribución.</w:t>
      </w:r>
      <w:r w:rsidRPr="001668EA">
        <w:rPr>
          <w:rFonts w:ascii="Calibri" w:eastAsia="Calibri" w:hAnsi="Calibri" w:cs="Calibri"/>
          <w:sz w:val="20"/>
          <w:szCs w:val="20"/>
          <w:lang w:val="es-CO"/>
        </w:rPr>
        <w:t xml:space="preserve"> </w:t>
      </w:r>
      <w:r w:rsidRPr="001668EA">
        <w:rPr>
          <w:rFonts w:ascii="Calibri" w:eastAsia="Calibri" w:hAnsi="Calibri" w:cs="Calibri"/>
          <w:sz w:val="20"/>
          <w:szCs w:val="20"/>
          <w:lang w:val="es-CO"/>
        </w:rPr>
        <w:t>Los productos serán inspeccionados para garantizar que cumplan con los estándares establecidos, minimizando riesgos y asegurando la satisfacción del cliente final.</w:t>
      </w:r>
    </w:p>
    <w:sectPr w:rsidR="001668EA" w:rsidRPr="001668EA" w:rsidSect="00F35343">
      <w:headerReference w:type="default" r:id="rId10"/>
      <w:headerReference w:type="first" r:id="rId11"/>
      <w:footerReference w:type="first" r:id="rId12"/>
      <w:pgSz w:w="11909" w:h="16834"/>
      <w:pgMar w:top="1440" w:right="1440" w:bottom="1440" w:left="1440" w:header="720" w:footer="283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C9EC4" w14:textId="77777777" w:rsidR="00861FCE" w:rsidRDefault="00861FCE">
      <w:pPr>
        <w:spacing w:line="240" w:lineRule="auto"/>
      </w:pPr>
      <w:r>
        <w:separator/>
      </w:r>
    </w:p>
  </w:endnote>
  <w:endnote w:type="continuationSeparator" w:id="0">
    <w:p w14:paraId="2D45A441" w14:textId="77777777" w:rsidR="00861FCE" w:rsidRDefault="00861F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BEF00" w14:textId="77777777" w:rsidR="00F80C65" w:rsidRDefault="00F80C65">
    <w:pPr>
      <w:widowControl w:val="0"/>
      <w:rPr>
        <w:rFonts w:ascii="Calibri" w:eastAsia="Calibri" w:hAnsi="Calibri" w:cs="Calibri"/>
        <w:sz w:val="20"/>
        <w:szCs w:val="20"/>
      </w:rPr>
    </w:pPr>
  </w:p>
  <w:tbl>
    <w:tblPr>
      <w:tblStyle w:val="a2"/>
      <w:tblW w:w="8838" w:type="dxa"/>
      <w:tblInd w:w="-1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6"/>
      <w:gridCol w:w="2946"/>
      <w:gridCol w:w="2946"/>
    </w:tblGrid>
    <w:tr w:rsidR="00F80C65" w14:paraId="1CEF4E58" w14:textId="77777777" w:rsidTr="000B390F">
      <w:tc>
        <w:tcPr>
          <w:tcW w:w="2946" w:type="dxa"/>
          <w:vAlign w:val="center"/>
        </w:tcPr>
        <w:p w14:paraId="5A4BAB18" w14:textId="77777777" w:rsidR="00F80C65" w:rsidRDefault="004E1329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Elaborado por:</w:t>
          </w:r>
        </w:p>
      </w:tc>
      <w:tc>
        <w:tcPr>
          <w:tcW w:w="2946" w:type="dxa"/>
          <w:vAlign w:val="center"/>
        </w:tcPr>
        <w:p w14:paraId="24A610B0" w14:textId="77777777" w:rsidR="00F80C65" w:rsidRDefault="004E1329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Revisado por:</w:t>
          </w:r>
        </w:p>
      </w:tc>
      <w:tc>
        <w:tcPr>
          <w:tcW w:w="2946" w:type="dxa"/>
          <w:vAlign w:val="center"/>
        </w:tcPr>
        <w:p w14:paraId="241A88C5" w14:textId="77777777" w:rsidR="00F80C65" w:rsidRDefault="004E1329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Aprobado por:</w:t>
          </w:r>
        </w:p>
      </w:tc>
    </w:tr>
    <w:tr w:rsidR="00F80C65" w14:paraId="0CDF7E80" w14:textId="77777777" w:rsidTr="000B390F">
      <w:tc>
        <w:tcPr>
          <w:tcW w:w="2946" w:type="dxa"/>
          <w:vAlign w:val="center"/>
        </w:tcPr>
        <w:p w14:paraId="79C1A3EF" w14:textId="77777777" w:rsidR="00F80C65" w:rsidRDefault="000B390F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Ian Carlos Torres</w:t>
          </w:r>
        </w:p>
        <w:p w14:paraId="3461D779" w14:textId="05BE0E40" w:rsidR="000B390F" w:rsidRDefault="000B390F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Auxiliar SGC y Auditoría Interna</w:t>
          </w:r>
        </w:p>
      </w:tc>
      <w:tc>
        <w:tcPr>
          <w:tcW w:w="2946" w:type="dxa"/>
          <w:vAlign w:val="center"/>
        </w:tcPr>
        <w:p w14:paraId="13FFC8E3" w14:textId="77777777" w:rsidR="00F80C65" w:rsidRDefault="000B390F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Laura Cano</w:t>
          </w:r>
        </w:p>
        <w:p w14:paraId="3CF2D8B6" w14:textId="4ED99764" w:rsidR="000B390F" w:rsidRDefault="000B390F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Coordinadora de Abastecimiento e Inventarios</w:t>
          </w:r>
        </w:p>
      </w:tc>
      <w:tc>
        <w:tcPr>
          <w:tcW w:w="2946" w:type="dxa"/>
          <w:vAlign w:val="center"/>
        </w:tcPr>
        <w:p w14:paraId="4C7079EC" w14:textId="77777777" w:rsidR="00F80C65" w:rsidRDefault="000B390F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Felipe Gómez</w:t>
          </w:r>
        </w:p>
        <w:p w14:paraId="7E4885F9" w14:textId="307119FD" w:rsidR="000B390F" w:rsidRDefault="000B390F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Dir. Operativo Dispensación.</w:t>
          </w:r>
        </w:p>
      </w:tc>
    </w:tr>
  </w:tbl>
  <w:p w14:paraId="0FB78278" w14:textId="77777777" w:rsidR="00F80C65" w:rsidRDefault="00F80C65">
    <w:pPr>
      <w:tabs>
        <w:tab w:val="center" w:pos="4419"/>
        <w:tab w:val="right" w:pos="8838"/>
      </w:tabs>
      <w:spacing w:after="160" w:line="259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3466C" w14:textId="77777777" w:rsidR="00861FCE" w:rsidRDefault="00861FCE">
      <w:pPr>
        <w:spacing w:line="240" w:lineRule="auto"/>
      </w:pPr>
      <w:r>
        <w:separator/>
      </w:r>
    </w:p>
  </w:footnote>
  <w:footnote w:type="continuationSeparator" w:id="0">
    <w:p w14:paraId="7667DF8D" w14:textId="77777777" w:rsidR="00861FCE" w:rsidRDefault="00861F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0"/>
      <w:tblW w:w="10065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815"/>
      <w:gridCol w:w="5820"/>
      <w:gridCol w:w="1005"/>
      <w:gridCol w:w="1425"/>
    </w:tblGrid>
    <w:tr w:rsidR="000B390F" w14:paraId="34981A15" w14:textId="77777777" w:rsidTr="0013470F">
      <w:trPr>
        <w:trHeight w:val="274"/>
        <w:jc w:val="center"/>
      </w:trPr>
      <w:tc>
        <w:tcPr>
          <w:tcW w:w="1815" w:type="dxa"/>
          <w:vMerge w:val="restart"/>
          <w:vAlign w:val="center"/>
        </w:tcPr>
        <w:p w14:paraId="08EAAA18" w14:textId="77777777" w:rsidR="000B390F" w:rsidRDefault="000B390F" w:rsidP="000B390F">
          <w:pPr>
            <w:tabs>
              <w:tab w:val="center" w:pos="4419"/>
              <w:tab w:val="right" w:pos="8838"/>
            </w:tabs>
          </w:pPr>
          <w:r>
            <w:rPr>
              <w:noProof/>
            </w:rPr>
            <w:drawing>
              <wp:inline distT="114300" distB="114300" distL="114300" distR="114300" wp14:anchorId="0FC2618E" wp14:editId="2F254912">
                <wp:extent cx="1019175" cy="508000"/>
                <wp:effectExtent l="0" t="0" r="0" b="0"/>
                <wp:docPr id="5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9175" cy="508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2D8C22A7" w14:textId="77777777" w:rsidR="000B390F" w:rsidRDefault="000B390F" w:rsidP="000B390F">
          <w:pPr>
            <w:tabs>
              <w:tab w:val="center" w:pos="4419"/>
              <w:tab w:val="right" w:pos="8838"/>
            </w:tabs>
          </w:pPr>
        </w:p>
      </w:tc>
      <w:tc>
        <w:tcPr>
          <w:tcW w:w="5820" w:type="dxa"/>
          <w:vMerge w:val="restart"/>
          <w:vAlign w:val="center"/>
        </w:tcPr>
        <w:p w14:paraId="741A2287" w14:textId="77777777" w:rsidR="000B390F" w:rsidRDefault="000B390F" w:rsidP="000B390F">
          <w:pPr>
            <w:tabs>
              <w:tab w:val="center" w:pos="4419"/>
              <w:tab w:val="right" w:pos="8838"/>
            </w:tabs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PROCESO: DISPENSACIÓN [GD]</w:t>
          </w:r>
        </w:p>
      </w:tc>
      <w:tc>
        <w:tcPr>
          <w:tcW w:w="2430" w:type="dxa"/>
          <w:gridSpan w:val="2"/>
          <w:vAlign w:val="center"/>
        </w:tcPr>
        <w:p w14:paraId="29AB8849" w14:textId="77777777" w:rsidR="000B390F" w:rsidRDefault="000B390F" w:rsidP="000B390F">
          <w:pPr>
            <w:tabs>
              <w:tab w:val="center" w:pos="4419"/>
              <w:tab w:val="right" w:pos="8838"/>
            </w:tabs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Código: </w:t>
          </w:r>
          <w:r>
            <w:rPr>
              <w:b/>
              <w:sz w:val="22"/>
              <w:szCs w:val="22"/>
            </w:rPr>
            <w:t>PO</w:t>
          </w:r>
        </w:p>
      </w:tc>
    </w:tr>
    <w:tr w:rsidR="000B390F" w14:paraId="0C1FEEE0" w14:textId="77777777" w:rsidTr="0013470F">
      <w:trPr>
        <w:trHeight w:val="420"/>
        <w:jc w:val="center"/>
      </w:trPr>
      <w:tc>
        <w:tcPr>
          <w:tcW w:w="1815" w:type="dxa"/>
          <w:vMerge/>
          <w:vAlign w:val="center"/>
        </w:tcPr>
        <w:p w14:paraId="4A2D6EFF" w14:textId="77777777" w:rsidR="000B390F" w:rsidRDefault="000B390F" w:rsidP="000B390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sz w:val="22"/>
              <w:szCs w:val="22"/>
            </w:rPr>
          </w:pPr>
        </w:p>
      </w:tc>
      <w:tc>
        <w:tcPr>
          <w:tcW w:w="5820" w:type="dxa"/>
          <w:vMerge/>
          <w:vAlign w:val="center"/>
        </w:tcPr>
        <w:p w14:paraId="4C07FE88" w14:textId="77777777" w:rsidR="000B390F" w:rsidRDefault="000B390F" w:rsidP="000B390F">
          <w:pPr>
            <w:tabs>
              <w:tab w:val="center" w:pos="4419"/>
              <w:tab w:val="right" w:pos="8838"/>
            </w:tabs>
            <w:jc w:val="center"/>
            <w:rPr>
              <w:sz w:val="22"/>
              <w:szCs w:val="22"/>
            </w:rPr>
          </w:pPr>
        </w:p>
      </w:tc>
      <w:tc>
        <w:tcPr>
          <w:tcW w:w="1005" w:type="dxa"/>
          <w:vMerge w:val="restart"/>
          <w:vAlign w:val="center"/>
        </w:tcPr>
        <w:p w14:paraId="69BC95B3" w14:textId="77777777" w:rsidR="000B390F" w:rsidRDefault="000B390F" w:rsidP="000B390F">
          <w:pPr>
            <w:tabs>
              <w:tab w:val="center" w:pos="4419"/>
              <w:tab w:val="right" w:pos="8838"/>
            </w:tabs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Versión:</w:t>
          </w:r>
        </w:p>
        <w:p w14:paraId="02C7DC42" w14:textId="77777777" w:rsidR="000B390F" w:rsidRDefault="000B390F" w:rsidP="000B390F">
          <w:pPr>
            <w:tabs>
              <w:tab w:val="center" w:pos="4419"/>
              <w:tab w:val="right" w:pos="8838"/>
            </w:tabs>
            <w:jc w:val="center"/>
            <w:rPr>
              <w:b/>
              <w:sz w:val="22"/>
              <w:szCs w:val="22"/>
            </w:rPr>
          </w:pPr>
          <w:r>
            <w:rPr>
              <w:b/>
              <w:sz w:val="22"/>
              <w:szCs w:val="22"/>
            </w:rPr>
            <w:t>01</w:t>
          </w:r>
        </w:p>
      </w:tc>
      <w:tc>
        <w:tcPr>
          <w:tcW w:w="1425" w:type="dxa"/>
          <w:vMerge w:val="restart"/>
          <w:vAlign w:val="center"/>
        </w:tcPr>
        <w:p w14:paraId="4859767D" w14:textId="77777777" w:rsidR="000B390F" w:rsidRDefault="000B390F" w:rsidP="000B390F">
          <w:pPr>
            <w:tabs>
              <w:tab w:val="center" w:pos="4419"/>
              <w:tab w:val="right" w:pos="8838"/>
            </w:tabs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Fecha:</w:t>
          </w:r>
        </w:p>
        <w:p w14:paraId="2B238131" w14:textId="77777777" w:rsidR="000B390F" w:rsidRDefault="000B390F" w:rsidP="000B390F">
          <w:pPr>
            <w:tabs>
              <w:tab w:val="center" w:pos="4419"/>
              <w:tab w:val="right" w:pos="8838"/>
            </w:tabs>
            <w:jc w:val="center"/>
            <w:rPr>
              <w:b/>
              <w:sz w:val="22"/>
              <w:szCs w:val="22"/>
            </w:rPr>
          </w:pPr>
        </w:p>
      </w:tc>
    </w:tr>
    <w:tr w:rsidR="000B390F" w14:paraId="4FE32DF7" w14:textId="77777777" w:rsidTr="0013470F">
      <w:trPr>
        <w:trHeight w:val="309"/>
        <w:jc w:val="center"/>
      </w:trPr>
      <w:tc>
        <w:tcPr>
          <w:tcW w:w="1815" w:type="dxa"/>
          <w:vMerge/>
          <w:vAlign w:val="center"/>
        </w:tcPr>
        <w:p w14:paraId="401BB216" w14:textId="77777777" w:rsidR="000B390F" w:rsidRDefault="000B390F" w:rsidP="000B390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22"/>
              <w:szCs w:val="22"/>
            </w:rPr>
          </w:pPr>
        </w:p>
      </w:tc>
      <w:tc>
        <w:tcPr>
          <w:tcW w:w="5820" w:type="dxa"/>
          <w:vMerge w:val="restart"/>
          <w:vAlign w:val="center"/>
        </w:tcPr>
        <w:p w14:paraId="018BBE01" w14:textId="77777777" w:rsidR="000B390F" w:rsidRDefault="000B390F" w:rsidP="000B390F">
          <w:pPr>
            <w:tabs>
              <w:tab w:val="center" w:pos="4419"/>
              <w:tab w:val="right" w:pos="8838"/>
            </w:tabs>
            <w:jc w:val="center"/>
            <w:rPr>
              <w:b/>
              <w:sz w:val="22"/>
              <w:szCs w:val="22"/>
            </w:rPr>
          </w:pPr>
          <w:r>
            <w:rPr>
              <w:b/>
              <w:sz w:val="22"/>
              <w:szCs w:val="22"/>
            </w:rPr>
            <w:t>POLÍTICA DE ABASTECIMIENTO PARA PUNTOS DE DISPENSACIÓN</w:t>
          </w:r>
        </w:p>
      </w:tc>
      <w:tc>
        <w:tcPr>
          <w:tcW w:w="1005" w:type="dxa"/>
          <w:vMerge/>
          <w:vAlign w:val="center"/>
        </w:tcPr>
        <w:p w14:paraId="6904CED4" w14:textId="77777777" w:rsidR="000B390F" w:rsidRDefault="000B390F" w:rsidP="000B390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22"/>
              <w:szCs w:val="22"/>
            </w:rPr>
          </w:pPr>
        </w:p>
      </w:tc>
      <w:tc>
        <w:tcPr>
          <w:tcW w:w="1425" w:type="dxa"/>
          <w:vMerge/>
          <w:vAlign w:val="center"/>
        </w:tcPr>
        <w:p w14:paraId="787F8A22" w14:textId="77777777" w:rsidR="000B390F" w:rsidRDefault="000B390F" w:rsidP="000B390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22"/>
              <w:szCs w:val="22"/>
            </w:rPr>
          </w:pPr>
        </w:p>
      </w:tc>
    </w:tr>
    <w:tr w:rsidR="000B390F" w14:paraId="57E538D6" w14:textId="77777777" w:rsidTr="0013470F">
      <w:trPr>
        <w:trHeight w:val="240"/>
        <w:jc w:val="center"/>
      </w:trPr>
      <w:tc>
        <w:tcPr>
          <w:tcW w:w="1815" w:type="dxa"/>
          <w:vMerge/>
          <w:vAlign w:val="center"/>
        </w:tcPr>
        <w:p w14:paraId="5967410F" w14:textId="77777777" w:rsidR="000B390F" w:rsidRDefault="000B390F" w:rsidP="000B390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22"/>
              <w:szCs w:val="22"/>
            </w:rPr>
          </w:pPr>
        </w:p>
      </w:tc>
      <w:tc>
        <w:tcPr>
          <w:tcW w:w="5820" w:type="dxa"/>
          <w:vMerge/>
          <w:vAlign w:val="center"/>
        </w:tcPr>
        <w:p w14:paraId="6937BE9A" w14:textId="77777777" w:rsidR="000B390F" w:rsidRDefault="000B390F" w:rsidP="000B390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22"/>
              <w:szCs w:val="22"/>
            </w:rPr>
          </w:pPr>
        </w:p>
      </w:tc>
      <w:tc>
        <w:tcPr>
          <w:tcW w:w="2430" w:type="dxa"/>
          <w:gridSpan w:val="2"/>
          <w:vAlign w:val="center"/>
        </w:tcPr>
        <w:p w14:paraId="1A981834" w14:textId="77777777" w:rsidR="000B390F" w:rsidRDefault="000B390F" w:rsidP="000B390F">
          <w:pPr>
            <w:tabs>
              <w:tab w:val="center" w:pos="4419"/>
              <w:tab w:val="right" w:pos="8838"/>
            </w:tabs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Página </w:t>
          </w: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  <w:noProof/>
            </w:rPr>
            <w:t>1</w:t>
          </w:r>
          <w:r>
            <w:rPr>
              <w:b/>
            </w:rPr>
            <w:fldChar w:fldCharType="end"/>
          </w:r>
          <w:r>
            <w:rPr>
              <w:sz w:val="22"/>
              <w:szCs w:val="22"/>
            </w:rPr>
            <w:t xml:space="preserve"> de 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  <w:noProof/>
            </w:rPr>
            <w:t>1</w:t>
          </w:r>
          <w:r>
            <w:rPr>
              <w:b/>
            </w:rPr>
            <w:fldChar w:fldCharType="end"/>
          </w:r>
        </w:p>
      </w:tc>
    </w:tr>
  </w:tbl>
  <w:p w14:paraId="144A5D23" w14:textId="77777777" w:rsidR="00F80C65" w:rsidRDefault="00F80C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0"/>
      <w:tblW w:w="10065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815"/>
      <w:gridCol w:w="5820"/>
      <w:gridCol w:w="1149"/>
      <w:gridCol w:w="1281"/>
    </w:tblGrid>
    <w:tr w:rsidR="000B390F" w14:paraId="41B10A06" w14:textId="77777777" w:rsidTr="000B390F">
      <w:trPr>
        <w:trHeight w:val="274"/>
        <w:jc w:val="center"/>
      </w:trPr>
      <w:tc>
        <w:tcPr>
          <w:tcW w:w="1815" w:type="dxa"/>
          <w:vMerge w:val="restart"/>
          <w:vAlign w:val="center"/>
        </w:tcPr>
        <w:p w14:paraId="62EBF3C5" w14:textId="77777777" w:rsidR="000B390F" w:rsidRDefault="000B390F">
          <w:pPr>
            <w:tabs>
              <w:tab w:val="center" w:pos="4419"/>
              <w:tab w:val="right" w:pos="8838"/>
            </w:tabs>
          </w:pPr>
          <w:r>
            <w:rPr>
              <w:noProof/>
            </w:rPr>
            <w:drawing>
              <wp:inline distT="114300" distB="114300" distL="114300" distR="114300" wp14:anchorId="21D4EA74" wp14:editId="07777777">
                <wp:extent cx="1019175" cy="508000"/>
                <wp:effectExtent l="0" t="0" r="0" b="0"/>
                <wp:docPr id="4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9175" cy="508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6D98A12B" w14:textId="77777777" w:rsidR="000B390F" w:rsidRDefault="000B390F">
          <w:pPr>
            <w:tabs>
              <w:tab w:val="center" w:pos="4419"/>
              <w:tab w:val="right" w:pos="8838"/>
            </w:tabs>
          </w:pPr>
        </w:p>
      </w:tc>
      <w:tc>
        <w:tcPr>
          <w:tcW w:w="5820" w:type="dxa"/>
          <w:vMerge w:val="restart"/>
          <w:vAlign w:val="center"/>
        </w:tcPr>
        <w:p w14:paraId="59F6EA1C" w14:textId="49FC4B26" w:rsidR="000B390F" w:rsidRDefault="000B390F" w:rsidP="000B390F">
          <w:pPr>
            <w:tabs>
              <w:tab w:val="center" w:pos="4419"/>
              <w:tab w:val="right" w:pos="8838"/>
            </w:tabs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PROCESO: DISPENSACIÓN [GD]</w:t>
          </w:r>
        </w:p>
      </w:tc>
      <w:tc>
        <w:tcPr>
          <w:tcW w:w="2430" w:type="dxa"/>
          <w:gridSpan w:val="2"/>
          <w:vAlign w:val="center"/>
        </w:tcPr>
        <w:p w14:paraId="6C25FA60" w14:textId="3E3CB10A" w:rsidR="000B390F" w:rsidRDefault="000B390F">
          <w:pPr>
            <w:tabs>
              <w:tab w:val="center" w:pos="4419"/>
              <w:tab w:val="right" w:pos="8838"/>
            </w:tabs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Código: </w:t>
          </w:r>
          <w:r>
            <w:rPr>
              <w:b/>
              <w:sz w:val="22"/>
              <w:szCs w:val="22"/>
            </w:rPr>
            <w:t>PO-GD-XX</w:t>
          </w:r>
        </w:p>
      </w:tc>
    </w:tr>
    <w:tr w:rsidR="000B390F" w14:paraId="5370FB92" w14:textId="77777777" w:rsidTr="000B390F">
      <w:trPr>
        <w:trHeight w:val="309"/>
        <w:jc w:val="center"/>
      </w:trPr>
      <w:tc>
        <w:tcPr>
          <w:tcW w:w="1815" w:type="dxa"/>
          <w:vMerge/>
          <w:vAlign w:val="center"/>
        </w:tcPr>
        <w:p w14:paraId="2946DB82" w14:textId="77777777" w:rsidR="000B390F" w:rsidRDefault="000B390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sz w:val="22"/>
              <w:szCs w:val="22"/>
            </w:rPr>
          </w:pPr>
        </w:p>
      </w:tc>
      <w:tc>
        <w:tcPr>
          <w:tcW w:w="5820" w:type="dxa"/>
          <w:vMerge/>
          <w:vAlign w:val="center"/>
        </w:tcPr>
        <w:p w14:paraId="1430AFEB" w14:textId="7F980232" w:rsidR="000B390F" w:rsidRDefault="000B390F">
          <w:pPr>
            <w:tabs>
              <w:tab w:val="center" w:pos="4419"/>
              <w:tab w:val="right" w:pos="8838"/>
            </w:tabs>
            <w:jc w:val="center"/>
            <w:rPr>
              <w:sz w:val="22"/>
              <w:szCs w:val="22"/>
            </w:rPr>
          </w:pPr>
        </w:p>
      </w:tc>
      <w:tc>
        <w:tcPr>
          <w:tcW w:w="1149" w:type="dxa"/>
          <w:vMerge w:val="restart"/>
          <w:vAlign w:val="center"/>
        </w:tcPr>
        <w:p w14:paraId="0A75F81D" w14:textId="77777777" w:rsidR="000B390F" w:rsidRDefault="000B390F">
          <w:pPr>
            <w:tabs>
              <w:tab w:val="center" w:pos="4419"/>
              <w:tab w:val="right" w:pos="8838"/>
            </w:tabs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Versión:</w:t>
          </w:r>
        </w:p>
        <w:p w14:paraId="5997CC1D" w14:textId="76084E46" w:rsidR="000B390F" w:rsidRDefault="000B390F" w:rsidP="000B390F">
          <w:pPr>
            <w:tabs>
              <w:tab w:val="center" w:pos="4419"/>
              <w:tab w:val="right" w:pos="8838"/>
            </w:tabs>
            <w:jc w:val="center"/>
            <w:rPr>
              <w:b/>
              <w:sz w:val="22"/>
              <w:szCs w:val="22"/>
            </w:rPr>
          </w:pPr>
          <w:r>
            <w:rPr>
              <w:b/>
              <w:sz w:val="22"/>
              <w:szCs w:val="22"/>
            </w:rPr>
            <w:t>01</w:t>
          </w:r>
        </w:p>
      </w:tc>
      <w:tc>
        <w:tcPr>
          <w:tcW w:w="1281" w:type="dxa"/>
          <w:vMerge w:val="restart"/>
          <w:vAlign w:val="center"/>
        </w:tcPr>
        <w:p w14:paraId="2B86AD77" w14:textId="77777777" w:rsidR="000B390F" w:rsidRDefault="000B390F">
          <w:pPr>
            <w:tabs>
              <w:tab w:val="center" w:pos="4419"/>
              <w:tab w:val="right" w:pos="8838"/>
            </w:tabs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Fecha:</w:t>
          </w:r>
        </w:p>
        <w:p w14:paraId="6B699379" w14:textId="77777777" w:rsidR="000B390F" w:rsidRDefault="000B390F">
          <w:pPr>
            <w:tabs>
              <w:tab w:val="center" w:pos="4419"/>
              <w:tab w:val="right" w:pos="8838"/>
            </w:tabs>
            <w:jc w:val="center"/>
            <w:rPr>
              <w:b/>
              <w:sz w:val="22"/>
              <w:szCs w:val="22"/>
            </w:rPr>
          </w:pPr>
        </w:p>
      </w:tc>
    </w:tr>
    <w:tr w:rsidR="00F80C65" w14:paraId="30F3EEAD" w14:textId="77777777" w:rsidTr="000B390F">
      <w:trPr>
        <w:trHeight w:val="309"/>
        <w:jc w:val="center"/>
      </w:trPr>
      <w:tc>
        <w:tcPr>
          <w:tcW w:w="1815" w:type="dxa"/>
          <w:vMerge/>
          <w:vAlign w:val="center"/>
        </w:tcPr>
        <w:p w14:paraId="3FE9F23F" w14:textId="77777777" w:rsidR="00F80C65" w:rsidRDefault="00F80C6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22"/>
              <w:szCs w:val="22"/>
            </w:rPr>
          </w:pPr>
        </w:p>
      </w:tc>
      <w:tc>
        <w:tcPr>
          <w:tcW w:w="5820" w:type="dxa"/>
          <w:vMerge w:val="restart"/>
          <w:vAlign w:val="center"/>
        </w:tcPr>
        <w:p w14:paraId="2DA1E69E" w14:textId="44519D46" w:rsidR="00F80C65" w:rsidRDefault="000B390F">
          <w:pPr>
            <w:tabs>
              <w:tab w:val="center" w:pos="4419"/>
              <w:tab w:val="right" w:pos="8838"/>
            </w:tabs>
            <w:jc w:val="center"/>
            <w:rPr>
              <w:b/>
              <w:sz w:val="22"/>
              <w:szCs w:val="22"/>
            </w:rPr>
          </w:pPr>
          <w:r>
            <w:rPr>
              <w:b/>
              <w:sz w:val="22"/>
              <w:szCs w:val="22"/>
            </w:rPr>
            <w:t>POLÍTICA DE ABASTECIMIENTO PARA PUNTOS DE DISPENSACIÓN</w:t>
          </w:r>
        </w:p>
      </w:tc>
      <w:tc>
        <w:tcPr>
          <w:tcW w:w="1149" w:type="dxa"/>
          <w:vMerge/>
          <w:vAlign w:val="center"/>
        </w:tcPr>
        <w:p w14:paraId="1F72F646" w14:textId="77777777" w:rsidR="00F80C65" w:rsidRDefault="00F80C6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22"/>
              <w:szCs w:val="22"/>
            </w:rPr>
          </w:pPr>
        </w:p>
      </w:tc>
      <w:tc>
        <w:tcPr>
          <w:tcW w:w="1281" w:type="dxa"/>
          <w:vMerge/>
          <w:vAlign w:val="center"/>
        </w:tcPr>
        <w:p w14:paraId="08CE6F91" w14:textId="77777777" w:rsidR="00F80C65" w:rsidRDefault="00F80C6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22"/>
              <w:szCs w:val="22"/>
            </w:rPr>
          </w:pPr>
        </w:p>
      </w:tc>
    </w:tr>
    <w:tr w:rsidR="00F80C65" w14:paraId="7AD019C5" w14:textId="77777777" w:rsidTr="000B390F">
      <w:trPr>
        <w:trHeight w:val="240"/>
        <w:jc w:val="center"/>
      </w:trPr>
      <w:tc>
        <w:tcPr>
          <w:tcW w:w="1815" w:type="dxa"/>
          <w:vMerge/>
          <w:vAlign w:val="center"/>
        </w:tcPr>
        <w:p w14:paraId="61CDCEAD" w14:textId="77777777" w:rsidR="00F80C65" w:rsidRDefault="00F80C6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22"/>
              <w:szCs w:val="22"/>
            </w:rPr>
          </w:pPr>
        </w:p>
      </w:tc>
      <w:tc>
        <w:tcPr>
          <w:tcW w:w="5820" w:type="dxa"/>
          <w:vMerge/>
          <w:vAlign w:val="center"/>
        </w:tcPr>
        <w:p w14:paraId="6BB9E253" w14:textId="77777777" w:rsidR="00F80C65" w:rsidRDefault="00F80C6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22"/>
              <w:szCs w:val="22"/>
            </w:rPr>
          </w:pPr>
        </w:p>
      </w:tc>
      <w:tc>
        <w:tcPr>
          <w:tcW w:w="2430" w:type="dxa"/>
          <w:gridSpan w:val="2"/>
          <w:vAlign w:val="center"/>
        </w:tcPr>
        <w:p w14:paraId="7A69E24D" w14:textId="09C9F49B" w:rsidR="00F80C65" w:rsidRDefault="004E1329">
          <w:pPr>
            <w:tabs>
              <w:tab w:val="center" w:pos="4419"/>
              <w:tab w:val="right" w:pos="8838"/>
            </w:tabs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Página </w:t>
          </w: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 w:rsidR="000B390F">
            <w:rPr>
              <w:b/>
              <w:noProof/>
            </w:rPr>
            <w:t>1</w:t>
          </w:r>
          <w:r>
            <w:rPr>
              <w:b/>
            </w:rPr>
            <w:fldChar w:fldCharType="end"/>
          </w:r>
          <w:r>
            <w:rPr>
              <w:sz w:val="22"/>
              <w:szCs w:val="22"/>
            </w:rPr>
            <w:t xml:space="preserve"> de 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 w:rsidR="000B390F">
            <w:rPr>
              <w:b/>
              <w:noProof/>
            </w:rPr>
            <w:t>1</w:t>
          </w:r>
          <w:r>
            <w:rPr>
              <w:b/>
            </w:rPr>
            <w:fldChar w:fldCharType="end"/>
          </w:r>
        </w:p>
      </w:tc>
    </w:tr>
  </w:tbl>
  <w:p w14:paraId="23DE523C" w14:textId="77777777" w:rsidR="00F80C65" w:rsidRDefault="00F80C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E5A09"/>
    <w:multiLevelType w:val="multilevel"/>
    <w:tmpl w:val="CBC841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E3E78CC"/>
    <w:multiLevelType w:val="multilevel"/>
    <w:tmpl w:val="EFA05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792A38"/>
    <w:multiLevelType w:val="multilevel"/>
    <w:tmpl w:val="D35C1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7D4033"/>
    <w:multiLevelType w:val="multilevel"/>
    <w:tmpl w:val="3DDA5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277E75"/>
    <w:multiLevelType w:val="multilevel"/>
    <w:tmpl w:val="390AA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180EFB"/>
    <w:multiLevelType w:val="multilevel"/>
    <w:tmpl w:val="FFFFFFFF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 w16cid:durableId="1438015853">
    <w:abstractNumId w:val="5"/>
  </w:num>
  <w:num w:numId="2" w16cid:durableId="1993946696">
    <w:abstractNumId w:val="2"/>
  </w:num>
  <w:num w:numId="3" w16cid:durableId="1533571530">
    <w:abstractNumId w:val="4"/>
  </w:num>
  <w:num w:numId="4" w16cid:durableId="1738353714">
    <w:abstractNumId w:val="0"/>
  </w:num>
  <w:num w:numId="5" w16cid:durableId="2067683667">
    <w:abstractNumId w:val="3"/>
  </w:num>
  <w:num w:numId="6" w16cid:durableId="648557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C65"/>
    <w:rsid w:val="000B390F"/>
    <w:rsid w:val="001668EA"/>
    <w:rsid w:val="001C7047"/>
    <w:rsid w:val="002619BD"/>
    <w:rsid w:val="004044E0"/>
    <w:rsid w:val="004E1329"/>
    <w:rsid w:val="00776080"/>
    <w:rsid w:val="00861FCE"/>
    <w:rsid w:val="00A93EE1"/>
    <w:rsid w:val="00F31F57"/>
    <w:rsid w:val="00F35343"/>
    <w:rsid w:val="00F80C65"/>
    <w:rsid w:val="0D44B350"/>
    <w:rsid w:val="26788A7B"/>
    <w:rsid w:val="3D214C9F"/>
    <w:rsid w:val="585EC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0BAB9"/>
  <w15:docId w15:val="{5D95BD7E-14E1-4682-A263-761E098D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ind w:left="720" w:hanging="360"/>
      <w:outlineLvl w:val="0"/>
    </w:pPr>
    <w:rPr>
      <w:rFonts w:ascii="Calibri" w:eastAsia="Calibri" w:hAnsi="Calibri" w:cs="Calibri"/>
      <w:b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left="1440" w:hanging="360"/>
      <w:outlineLvl w:val="1"/>
    </w:pPr>
    <w:rPr>
      <w:rFonts w:ascii="Calibri" w:eastAsia="Calibri" w:hAnsi="Calibri" w:cs="Calibri"/>
      <w:b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e0"/>
    <w:pPr>
      <w:spacing w:line="240" w:lineRule="auto"/>
    </w:pPr>
    <w:rPr>
      <w:rFonts w:ascii="Calibri" w:eastAsia="Calibri" w:hAnsi="Calibri" w:cs="Calibri"/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NormalTable0"/>
    <w:pPr>
      <w:spacing w:line="240" w:lineRule="auto"/>
    </w:pPr>
    <w:rPr>
      <w:rFonts w:ascii="Calibri" w:eastAsia="Calibri" w:hAnsi="Calibri" w:cs="Calibri"/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NormalTable0"/>
    <w:pPr>
      <w:spacing w:line="240" w:lineRule="auto"/>
    </w:pPr>
    <w:rPr>
      <w:rFonts w:ascii="Calibri" w:eastAsia="Calibri" w:hAnsi="Calibri" w:cs="Calibri"/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NormalTable0"/>
    <w:pPr>
      <w:spacing w:line="240" w:lineRule="auto"/>
    </w:pPr>
    <w:rPr>
      <w:rFonts w:ascii="Calibri" w:eastAsia="Calibri" w:hAnsi="Calibri" w:cs="Calibri"/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B390F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B390F"/>
  </w:style>
  <w:style w:type="paragraph" w:styleId="Piedepgina">
    <w:name w:val="footer"/>
    <w:basedOn w:val="Normal"/>
    <w:link w:val="PiedepginaCar"/>
    <w:uiPriority w:val="99"/>
    <w:unhideWhenUsed/>
    <w:rsid w:val="000B390F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390F"/>
  </w:style>
  <w:style w:type="paragraph" w:styleId="NormalWeb">
    <w:name w:val="Normal (Web)"/>
    <w:basedOn w:val="Normal"/>
    <w:uiPriority w:val="99"/>
    <w:semiHidden/>
    <w:unhideWhenUsed/>
    <w:rsid w:val="000B3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0B39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6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3f7638-6514-4b63-854a-82932f0f1d92">
      <Terms xmlns="http://schemas.microsoft.com/office/infopath/2007/PartnerControls"/>
    </lcf76f155ced4ddcb4097134ff3c332f>
    <TaxCatchAll xmlns="e6fc5aa4-1dd1-4a59-a862-2662ca4feb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F9E525CAA39744A9E7F395F461F836A" ma:contentTypeVersion="15" ma:contentTypeDescription="Crear nuevo documento." ma:contentTypeScope="" ma:versionID="968845ae8794bdc17787d7ca5c11b85c">
  <xsd:schema xmlns:xsd="http://www.w3.org/2001/XMLSchema" xmlns:xs="http://www.w3.org/2001/XMLSchema" xmlns:p="http://schemas.microsoft.com/office/2006/metadata/properties" xmlns:ns2="763f7638-6514-4b63-854a-82932f0f1d92" xmlns:ns3="e6fc5aa4-1dd1-4a59-a862-2662ca4feb1e" targetNamespace="http://schemas.microsoft.com/office/2006/metadata/properties" ma:root="true" ma:fieldsID="41a37860c949bfc075ee54472f654110" ns2:_="" ns3:_="">
    <xsd:import namespace="763f7638-6514-4b63-854a-82932f0f1d92"/>
    <xsd:import namespace="e6fc5aa4-1dd1-4a59-a862-2662ca4feb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3f7638-6514-4b63-854a-82932f0f1d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29b72104-ccbb-4a52-84fd-805f2c9d0e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c5aa4-1dd1-4a59-a862-2662ca4feb1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f0743b9-4c2b-416c-b4a3-53c46fcd751a}" ma:internalName="TaxCatchAll" ma:showField="CatchAllData" ma:web="e6fc5aa4-1dd1-4a59-a862-2662ca4feb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11037D-38F4-4617-9DAE-7FAC27AB2206}">
  <ds:schemaRefs>
    <ds:schemaRef ds:uri="http://schemas.microsoft.com/office/2006/metadata/properties"/>
    <ds:schemaRef ds:uri="http://schemas.microsoft.com/office/infopath/2007/PartnerControls"/>
    <ds:schemaRef ds:uri="763f7638-6514-4b63-854a-82932f0f1d92"/>
    <ds:schemaRef ds:uri="e6fc5aa4-1dd1-4a59-a862-2662ca4feb1e"/>
  </ds:schemaRefs>
</ds:datastoreItem>
</file>

<file path=customXml/itemProps2.xml><?xml version="1.0" encoding="utf-8"?>
<ds:datastoreItem xmlns:ds="http://schemas.openxmlformats.org/officeDocument/2006/customXml" ds:itemID="{B8BFAB5D-3DDC-4324-91C9-E489BB0C52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684905-ADAF-4F21-A033-0FCFD23CC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3f7638-6514-4b63-854a-82932f0f1d92"/>
    <ds:schemaRef ds:uri="e6fc5aa4-1dd1-4a59-a862-2662ca4feb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389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Daniela Madariaga Gutierrez</cp:lastModifiedBy>
  <cp:revision>3</cp:revision>
  <dcterms:created xsi:type="dcterms:W3CDTF">2025-01-20T21:51:00Z</dcterms:created>
  <dcterms:modified xsi:type="dcterms:W3CDTF">2025-01-21T19:49:00Z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0x010100EF9E525CAA39744A9E7F395F461F836A</vt:lpwstr>
  </property>
  <property fmtid="{D5CDD505-2E9C-101B-9397-08002B2CF9AE}" pid="3" name="MediaServiceImageTags">
    <vt:lpwstr/>
  </property>
</Properties>
</file>